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3" w:type="dxa"/>
        <w:tblInd w:w="108" w:type="dxa"/>
        <w:tblLayout w:type="fixed"/>
        <w:tblLook w:val="0000" w:firstRow="0" w:lastRow="0" w:firstColumn="0" w:lastColumn="0" w:noHBand="0" w:noVBand="0"/>
      </w:tblPr>
      <w:tblGrid>
        <w:gridCol w:w="4752"/>
        <w:gridCol w:w="4311"/>
      </w:tblGrid>
      <w:tr w:rsidR="00923EFF" w:rsidRPr="00A54B0B">
        <w:tc>
          <w:tcPr>
            <w:tcW w:w="4752" w:type="dxa"/>
          </w:tcPr>
          <w:p w:rsidR="00923EFF" w:rsidRPr="00A54B0B" w:rsidRDefault="00923EFF" w:rsidP="008C1E73">
            <w:pPr>
              <w:pStyle w:val="Cover"/>
              <w:rPr>
                <w:b/>
                <w:bCs/>
                <w:sz w:val="20"/>
                <w:szCs w:val="20"/>
              </w:rPr>
            </w:pPr>
            <w:proofErr w:type="spellStart"/>
            <w:r>
              <w:rPr>
                <w:b/>
                <w:bCs/>
                <w:sz w:val="20"/>
                <w:szCs w:val="20"/>
              </w:rPr>
              <w:t>Comptes</w:t>
            </w:r>
            <w:proofErr w:type="spellEnd"/>
            <w:r>
              <w:rPr>
                <w:b/>
                <w:bCs/>
                <w:sz w:val="20"/>
                <w:szCs w:val="20"/>
              </w:rPr>
              <w:t xml:space="preserve"> </w:t>
            </w:r>
            <w:proofErr w:type="spellStart"/>
            <w:r>
              <w:rPr>
                <w:b/>
                <w:bCs/>
                <w:sz w:val="20"/>
                <w:szCs w:val="20"/>
              </w:rPr>
              <w:t>rendus</w:t>
            </w:r>
            <w:proofErr w:type="spellEnd"/>
            <w:r w:rsidRPr="00A54B0B">
              <w:rPr>
                <w:b/>
                <w:bCs/>
                <w:sz w:val="20"/>
                <w:szCs w:val="20"/>
              </w:rPr>
              <w:t xml:space="preserve">  20</w:t>
            </w:r>
            <w:r w:rsidR="00B102EB">
              <w:rPr>
                <w:b/>
                <w:bCs/>
                <w:sz w:val="20"/>
                <w:szCs w:val="20"/>
              </w:rPr>
              <w:t>1</w:t>
            </w:r>
            <w:r w:rsidR="008C1E73">
              <w:rPr>
                <w:b/>
                <w:bCs/>
                <w:sz w:val="20"/>
                <w:szCs w:val="20"/>
              </w:rPr>
              <w:t>3</w:t>
            </w:r>
            <w:r w:rsidRPr="00A54B0B">
              <w:rPr>
                <w:b/>
                <w:bCs/>
                <w:sz w:val="20"/>
                <w:szCs w:val="20"/>
              </w:rPr>
              <w:t>/</w:t>
            </w:r>
            <w:r>
              <w:rPr>
                <w:b/>
                <w:bCs/>
                <w:sz w:val="20"/>
                <w:szCs w:val="20"/>
              </w:rPr>
              <w:t>0</w:t>
            </w:r>
            <w:r w:rsidR="00AF68E6">
              <w:rPr>
                <w:b/>
                <w:bCs/>
                <w:sz w:val="20"/>
                <w:szCs w:val="20"/>
              </w:rPr>
              <w:t>1</w:t>
            </w:r>
          </w:p>
        </w:tc>
        <w:tc>
          <w:tcPr>
            <w:tcW w:w="4311" w:type="dxa"/>
          </w:tcPr>
          <w:p w:rsidR="00923EFF" w:rsidRPr="00A54B0B" w:rsidRDefault="00923EFF">
            <w:pPr>
              <w:pStyle w:val="Cover"/>
              <w:rPr>
                <w:b/>
                <w:bCs/>
                <w:sz w:val="20"/>
                <w:szCs w:val="20"/>
              </w:rPr>
            </w:pPr>
            <w:r>
              <w:rPr>
                <w:b/>
                <w:bCs/>
                <w:sz w:val="20"/>
                <w:szCs w:val="20"/>
              </w:rPr>
              <w:t>Proceedings</w:t>
            </w:r>
            <w:r w:rsidRPr="00A54B0B">
              <w:rPr>
                <w:b/>
                <w:bCs/>
                <w:sz w:val="20"/>
                <w:szCs w:val="20"/>
              </w:rPr>
              <w:t xml:space="preserve">  20</w:t>
            </w:r>
            <w:r w:rsidR="00B102EB">
              <w:rPr>
                <w:b/>
                <w:bCs/>
                <w:sz w:val="20"/>
                <w:szCs w:val="20"/>
              </w:rPr>
              <w:t>1</w:t>
            </w:r>
            <w:r w:rsidR="008C1E73">
              <w:rPr>
                <w:b/>
                <w:bCs/>
                <w:sz w:val="20"/>
                <w:szCs w:val="20"/>
              </w:rPr>
              <w:t>3</w:t>
            </w:r>
            <w:r w:rsidRPr="00A54B0B">
              <w:rPr>
                <w:b/>
                <w:bCs/>
                <w:sz w:val="20"/>
                <w:szCs w:val="20"/>
              </w:rPr>
              <w:t>/</w:t>
            </w:r>
            <w:r>
              <w:rPr>
                <w:b/>
                <w:bCs/>
                <w:sz w:val="20"/>
                <w:szCs w:val="20"/>
              </w:rPr>
              <w:t>0</w:t>
            </w:r>
            <w:r w:rsidR="00AF68E6">
              <w:rPr>
                <w:b/>
                <w:bCs/>
                <w:sz w:val="20"/>
                <w:szCs w:val="20"/>
              </w:rPr>
              <w:t>1</w:t>
            </w:r>
          </w:p>
          <w:p w:rsidR="00923EFF" w:rsidRPr="00A54B0B" w:rsidRDefault="00923EFF">
            <w:pPr>
              <w:pStyle w:val="Cover"/>
              <w:rPr>
                <w:b/>
                <w:bCs/>
                <w:sz w:val="20"/>
                <w:szCs w:val="20"/>
              </w:rPr>
            </w:pPr>
          </w:p>
        </w:tc>
      </w:tr>
    </w:tbl>
    <w:p w:rsidR="00923EFF" w:rsidRDefault="00923EFF">
      <w:pPr>
        <w:jc w:val="center"/>
        <w:rPr>
          <w:rFonts w:ascii="Arial" w:hAnsi="Arial" w:cs="Arial"/>
          <w:b/>
        </w:rPr>
      </w:pPr>
    </w:p>
    <w:p w:rsidR="00022A0D" w:rsidRPr="00022A0D" w:rsidRDefault="00022A0D" w:rsidP="00022A0D">
      <w:pPr>
        <w:pStyle w:val="Cover"/>
        <w:jc w:val="center"/>
        <w:rPr>
          <w:b/>
        </w:rPr>
      </w:pPr>
      <w:proofErr w:type="spellStart"/>
      <w:r w:rsidRPr="00022A0D">
        <w:rPr>
          <w:b/>
        </w:rPr>
        <w:t>Transboundary</w:t>
      </w:r>
      <w:proofErr w:type="spellEnd"/>
      <w:r w:rsidRPr="00022A0D">
        <w:rPr>
          <w:b/>
        </w:rPr>
        <w:t xml:space="preserve"> Resources Assessment Committee</w:t>
      </w:r>
      <w:r w:rsidR="003F24CB">
        <w:rPr>
          <w:b/>
        </w:rPr>
        <w:t xml:space="preserve"> (TRAC)</w:t>
      </w:r>
      <w:bookmarkStart w:id="0" w:name="_GoBack"/>
      <w:bookmarkEnd w:id="0"/>
    </w:p>
    <w:p w:rsidR="00022A0D" w:rsidRPr="00022A0D" w:rsidRDefault="00022A0D" w:rsidP="00022A0D">
      <w:pPr>
        <w:pStyle w:val="Cover"/>
        <w:jc w:val="center"/>
        <w:rPr>
          <w:b/>
        </w:rPr>
      </w:pPr>
    </w:p>
    <w:p w:rsidR="00022A0D" w:rsidRPr="00022A0D" w:rsidRDefault="003F24CB" w:rsidP="00022A0D">
      <w:pPr>
        <w:pStyle w:val="Cover"/>
        <w:jc w:val="center"/>
        <w:rPr>
          <w:b/>
        </w:rPr>
      </w:pPr>
      <w:r w:rsidRPr="003F24CB">
        <w:rPr>
          <w:b/>
        </w:rPr>
        <w:t>Eastern Georges Bank Cod Benchmark Assessment and TRAC Benchmark Criteria Discussion</w:t>
      </w:r>
    </w:p>
    <w:p w:rsidR="00022A0D" w:rsidRPr="00022A0D" w:rsidRDefault="00022A0D" w:rsidP="00022A0D">
      <w:pPr>
        <w:pStyle w:val="Cover"/>
        <w:jc w:val="center"/>
        <w:rPr>
          <w:b/>
        </w:rPr>
      </w:pPr>
    </w:p>
    <w:p w:rsidR="00022A0D" w:rsidRPr="00022A0D" w:rsidRDefault="00022A0D" w:rsidP="00022A0D">
      <w:pPr>
        <w:pStyle w:val="Cover"/>
        <w:jc w:val="center"/>
        <w:rPr>
          <w:b/>
        </w:rPr>
      </w:pPr>
      <w:r w:rsidRPr="00022A0D">
        <w:rPr>
          <w:b/>
        </w:rPr>
        <w:t>Report of Meeting held</w:t>
      </w:r>
      <w:r w:rsidR="008C1E73">
        <w:rPr>
          <w:b/>
        </w:rPr>
        <w:t xml:space="preserve"> </w:t>
      </w:r>
      <w:r w:rsidR="008C1E73">
        <w:rPr>
          <w:b/>
        </w:rPr>
        <w:br/>
        <w:t>9-11 April 2013</w:t>
      </w:r>
    </w:p>
    <w:p w:rsidR="00022A0D" w:rsidRPr="00022A0D" w:rsidRDefault="00022A0D" w:rsidP="00022A0D">
      <w:pPr>
        <w:pStyle w:val="Cover"/>
        <w:jc w:val="center"/>
        <w:rPr>
          <w:b/>
          <w:sz w:val="20"/>
          <w:szCs w:val="20"/>
        </w:rPr>
      </w:pPr>
    </w:p>
    <w:p w:rsidR="00022A0D" w:rsidRPr="00022A0D" w:rsidRDefault="00022A0D" w:rsidP="00022A0D">
      <w:pPr>
        <w:pStyle w:val="Cover"/>
        <w:jc w:val="center"/>
        <w:rPr>
          <w:b/>
          <w:sz w:val="20"/>
          <w:szCs w:val="20"/>
        </w:rPr>
      </w:pPr>
    </w:p>
    <w:p w:rsidR="00022A0D" w:rsidRPr="00022A0D" w:rsidRDefault="00022A0D" w:rsidP="00022A0D">
      <w:pPr>
        <w:pStyle w:val="Cover"/>
        <w:jc w:val="center"/>
        <w:rPr>
          <w:b/>
          <w:sz w:val="20"/>
          <w:szCs w:val="20"/>
        </w:rPr>
      </w:pPr>
      <w:r w:rsidRPr="00022A0D">
        <w:rPr>
          <w:b/>
          <w:sz w:val="20"/>
          <w:szCs w:val="20"/>
        </w:rPr>
        <w:t>Meeting Chairpersons</w:t>
      </w:r>
    </w:p>
    <w:p w:rsidR="00022A0D" w:rsidRPr="00022A0D" w:rsidRDefault="00022A0D" w:rsidP="00022A0D">
      <w:pPr>
        <w:pStyle w:val="Cover"/>
        <w:jc w:val="center"/>
        <w:rPr>
          <w:b/>
          <w:sz w:val="20"/>
          <w:szCs w:val="20"/>
        </w:rPr>
      </w:pPr>
    </w:p>
    <w:p w:rsidR="008C1E73" w:rsidRDefault="008C1E73" w:rsidP="008C1E73">
      <w:pPr>
        <w:pStyle w:val="Cover"/>
        <w:jc w:val="center"/>
        <w:rPr>
          <w:sz w:val="20"/>
          <w:szCs w:val="20"/>
        </w:rPr>
      </w:pPr>
      <w:r>
        <w:rPr>
          <w:sz w:val="20"/>
          <w:szCs w:val="20"/>
        </w:rPr>
        <w:t>R. Claytor</w:t>
      </w:r>
      <w:r>
        <w:rPr>
          <w:sz w:val="20"/>
          <w:szCs w:val="20"/>
        </w:rPr>
        <w:br/>
      </w:r>
      <w:r w:rsidRPr="00022A0D">
        <w:rPr>
          <w:sz w:val="20"/>
          <w:szCs w:val="20"/>
        </w:rPr>
        <w:t>Fisheries and Oceans Canada</w:t>
      </w:r>
      <w:r>
        <w:rPr>
          <w:sz w:val="20"/>
          <w:szCs w:val="20"/>
        </w:rPr>
        <w:br/>
      </w:r>
      <w:r>
        <w:rPr>
          <w:sz w:val="20"/>
          <w:szCs w:val="20"/>
        </w:rPr>
        <w:t>Bedford Institute of Oceanography</w:t>
      </w:r>
      <w:r>
        <w:rPr>
          <w:sz w:val="20"/>
          <w:szCs w:val="20"/>
        </w:rPr>
        <w:br/>
      </w:r>
      <w:r>
        <w:rPr>
          <w:sz w:val="20"/>
          <w:szCs w:val="20"/>
        </w:rPr>
        <w:t>Dartmouth, Nova Scotia</w:t>
      </w:r>
      <w:r w:rsidRPr="00022A0D">
        <w:rPr>
          <w:sz w:val="20"/>
          <w:szCs w:val="20"/>
        </w:rPr>
        <w:t>, Canada</w:t>
      </w:r>
    </w:p>
    <w:p w:rsidR="008C1E73" w:rsidRPr="00022A0D" w:rsidRDefault="008C1E73" w:rsidP="008C1E73">
      <w:pPr>
        <w:pStyle w:val="Cover"/>
        <w:jc w:val="center"/>
        <w:rPr>
          <w:sz w:val="20"/>
          <w:szCs w:val="20"/>
        </w:rPr>
      </w:pPr>
    </w:p>
    <w:p w:rsidR="00022A0D" w:rsidRDefault="00022A0D" w:rsidP="00022A0D">
      <w:pPr>
        <w:pStyle w:val="Cover"/>
        <w:jc w:val="center"/>
        <w:rPr>
          <w:sz w:val="20"/>
          <w:szCs w:val="20"/>
        </w:rPr>
      </w:pPr>
      <w:r w:rsidRPr="00022A0D">
        <w:rPr>
          <w:sz w:val="20"/>
          <w:szCs w:val="20"/>
        </w:rPr>
        <w:t>L. O’Brien</w:t>
      </w:r>
      <w:r w:rsidR="008C1E73">
        <w:rPr>
          <w:sz w:val="20"/>
          <w:szCs w:val="20"/>
        </w:rPr>
        <w:br/>
      </w:r>
      <w:r w:rsidRPr="00022A0D">
        <w:rPr>
          <w:sz w:val="20"/>
          <w:szCs w:val="20"/>
        </w:rPr>
        <w:t>National Marine Fisheries Service</w:t>
      </w:r>
      <w:r w:rsidR="008C1E73">
        <w:rPr>
          <w:sz w:val="20"/>
          <w:szCs w:val="20"/>
        </w:rPr>
        <w:br/>
      </w:r>
      <w:r w:rsidRPr="00022A0D">
        <w:rPr>
          <w:sz w:val="20"/>
          <w:szCs w:val="20"/>
        </w:rPr>
        <w:t>Northeast Fisheries Science Center</w:t>
      </w:r>
      <w:r w:rsidR="008C1E73">
        <w:rPr>
          <w:sz w:val="20"/>
          <w:szCs w:val="20"/>
        </w:rPr>
        <w:br/>
      </w:r>
      <w:r w:rsidRPr="00022A0D">
        <w:rPr>
          <w:sz w:val="20"/>
          <w:szCs w:val="20"/>
        </w:rPr>
        <w:t>Woods Hole, Massachusetts, USA</w:t>
      </w:r>
    </w:p>
    <w:p w:rsidR="00793FF2" w:rsidRPr="00022A0D" w:rsidRDefault="00793FF2" w:rsidP="00022A0D">
      <w:pPr>
        <w:pStyle w:val="Cover"/>
        <w:jc w:val="center"/>
        <w:rPr>
          <w:sz w:val="20"/>
          <w:szCs w:val="20"/>
        </w:rPr>
      </w:pPr>
    </w:p>
    <w:p w:rsidR="00793FF2" w:rsidRPr="00022A0D" w:rsidRDefault="00793FF2" w:rsidP="00793FF2">
      <w:pPr>
        <w:pStyle w:val="Cover"/>
        <w:jc w:val="center"/>
        <w:rPr>
          <w:sz w:val="20"/>
          <w:szCs w:val="20"/>
        </w:rPr>
      </w:pPr>
    </w:p>
    <w:p w:rsidR="00022A0D" w:rsidRPr="00022A0D" w:rsidRDefault="00022A0D" w:rsidP="00022A0D">
      <w:pPr>
        <w:pStyle w:val="Cover"/>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236"/>
        <w:gridCol w:w="4732"/>
      </w:tblGrid>
      <w:tr w:rsidR="00923EFF" w:rsidRPr="009178D5">
        <w:tc>
          <w:tcPr>
            <w:tcW w:w="4608" w:type="dxa"/>
          </w:tcPr>
          <w:p w:rsidR="00923EFF" w:rsidRPr="009178D5" w:rsidRDefault="00AE2C82">
            <w:pPr>
              <w:jc w:val="center"/>
              <w:rPr>
                <w:rFonts w:ascii="Arial" w:hAnsi="Arial" w:cs="Arial"/>
                <w:b/>
                <w:sz w:val="20"/>
                <w:szCs w:val="20"/>
              </w:rPr>
            </w:pPr>
            <w:bookmarkStart w:id="1" w:name="_Toc176669258"/>
            <w:bookmarkStart w:id="2" w:name="_Toc260756997"/>
            <w:bookmarkStart w:id="3" w:name="_Toc269821677"/>
            <w:r w:rsidRPr="009178D5">
              <w:rPr>
                <w:rFonts w:ascii="Arial" w:hAnsi="Arial" w:cs="Arial"/>
                <w:b/>
                <w:sz w:val="20"/>
                <w:szCs w:val="20"/>
              </w:rPr>
              <w:t>ABSTRACT</w:t>
            </w:r>
            <w:bookmarkEnd w:id="1"/>
            <w:bookmarkEnd w:id="2"/>
            <w:bookmarkEnd w:id="3"/>
          </w:p>
        </w:tc>
        <w:tc>
          <w:tcPr>
            <w:tcW w:w="236" w:type="dxa"/>
          </w:tcPr>
          <w:p w:rsidR="00923EFF" w:rsidRPr="009178D5" w:rsidRDefault="00923EFF">
            <w:pPr>
              <w:jc w:val="center"/>
              <w:rPr>
                <w:rFonts w:ascii="Arial" w:hAnsi="Arial" w:cs="Arial"/>
                <w:b/>
                <w:sz w:val="20"/>
                <w:szCs w:val="20"/>
              </w:rPr>
            </w:pPr>
          </w:p>
        </w:tc>
        <w:tc>
          <w:tcPr>
            <w:tcW w:w="4732" w:type="dxa"/>
          </w:tcPr>
          <w:p w:rsidR="00923EFF" w:rsidRPr="009178D5" w:rsidRDefault="00AE2C82">
            <w:pPr>
              <w:jc w:val="center"/>
              <w:rPr>
                <w:rFonts w:ascii="Arial" w:hAnsi="Arial" w:cs="Arial"/>
                <w:b/>
                <w:sz w:val="20"/>
                <w:szCs w:val="20"/>
              </w:rPr>
            </w:pPr>
            <w:bookmarkStart w:id="4" w:name="_Toc77666985"/>
            <w:bookmarkStart w:id="5" w:name="_Toc109526177"/>
            <w:bookmarkStart w:id="6" w:name="_Toc109526313"/>
            <w:bookmarkStart w:id="7" w:name="_Toc109526354"/>
            <w:bookmarkStart w:id="8" w:name="_Toc114289379"/>
            <w:bookmarkStart w:id="9" w:name="_Toc114289683"/>
            <w:bookmarkStart w:id="10" w:name="_Toc114289894"/>
            <w:bookmarkStart w:id="11" w:name="_Toc169502057"/>
            <w:bookmarkStart w:id="12" w:name="_Toc169502209"/>
            <w:bookmarkStart w:id="13" w:name="_Toc170278106"/>
            <w:bookmarkStart w:id="14" w:name="_Toc170278171"/>
            <w:bookmarkStart w:id="15" w:name="_Toc176669259"/>
            <w:bookmarkStart w:id="16" w:name="_Toc231869604"/>
            <w:bookmarkStart w:id="17" w:name="_Toc233456933"/>
            <w:bookmarkStart w:id="18" w:name="_Toc233773590"/>
            <w:bookmarkStart w:id="19" w:name="_Toc233773698"/>
            <w:bookmarkStart w:id="20" w:name="_Toc237939991"/>
            <w:bookmarkStart w:id="21" w:name="_Toc260756998"/>
            <w:bookmarkStart w:id="22" w:name="_Toc269821678"/>
            <w:r w:rsidRPr="009178D5">
              <w:rPr>
                <w:rFonts w:ascii="Arial" w:hAnsi="Arial" w:cs="Arial"/>
                <w:b/>
                <w:bCs/>
                <w:sz w:val="20"/>
                <w:szCs w:val="20"/>
                <w:lang w:val="fr-CA"/>
              </w:rPr>
              <w:t>RÉSUMÉ</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r>
      <w:tr w:rsidR="00923EFF" w:rsidRPr="007A6186">
        <w:tc>
          <w:tcPr>
            <w:tcW w:w="4608" w:type="dxa"/>
          </w:tcPr>
          <w:p w:rsidR="00923EFF" w:rsidRPr="007A6186" w:rsidRDefault="00923EFF">
            <w:pPr>
              <w:rPr>
                <w:rFonts w:ascii="Arial" w:hAnsi="Arial" w:cs="Arial"/>
                <w:sz w:val="20"/>
                <w:szCs w:val="20"/>
              </w:rPr>
            </w:pPr>
          </w:p>
        </w:tc>
        <w:tc>
          <w:tcPr>
            <w:tcW w:w="236" w:type="dxa"/>
          </w:tcPr>
          <w:p w:rsidR="00923EFF" w:rsidRPr="007A6186" w:rsidRDefault="00923EFF">
            <w:pPr>
              <w:rPr>
                <w:rFonts w:ascii="Arial" w:hAnsi="Arial" w:cs="Arial"/>
                <w:sz w:val="20"/>
                <w:szCs w:val="20"/>
              </w:rPr>
            </w:pPr>
          </w:p>
        </w:tc>
        <w:tc>
          <w:tcPr>
            <w:tcW w:w="4732" w:type="dxa"/>
          </w:tcPr>
          <w:p w:rsidR="00923EFF" w:rsidRPr="007A6186" w:rsidRDefault="00923EFF">
            <w:pPr>
              <w:rPr>
                <w:rFonts w:ascii="Arial" w:hAnsi="Arial" w:cs="Arial"/>
                <w:sz w:val="20"/>
                <w:szCs w:val="20"/>
              </w:rPr>
            </w:pPr>
          </w:p>
        </w:tc>
      </w:tr>
      <w:tr w:rsidR="00923EFF" w:rsidRPr="008C1E73">
        <w:tc>
          <w:tcPr>
            <w:tcW w:w="4608" w:type="dxa"/>
          </w:tcPr>
          <w:p w:rsidR="00923EFF" w:rsidRPr="003F24CB" w:rsidRDefault="003F24CB" w:rsidP="003F24CB">
            <w:pPr>
              <w:jc w:val="both"/>
              <w:rPr>
                <w:rFonts w:ascii="Arial" w:hAnsi="Arial" w:cs="Arial"/>
                <w:sz w:val="20"/>
                <w:szCs w:val="20"/>
                <w:lang w:val="fr-CA"/>
              </w:rPr>
            </w:pPr>
            <w:r w:rsidRPr="003F24CB">
              <w:rPr>
                <w:rFonts w:ascii="Arial" w:hAnsi="Arial" w:cs="Arial"/>
                <w:sz w:val="20"/>
                <w:szCs w:val="20"/>
              </w:rPr>
              <w:t xml:space="preserve">The </w:t>
            </w:r>
            <w:proofErr w:type="spellStart"/>
            <w:r w:rsidRPr="003F24CB">
              <w:rPr>
                <w:rFonts w:ascii="Arial" w:hAnsi="Arial" w:cs="Arial"/>
                <w:sz w:val="20"/>
                <w:szCs w:val="20"/>
              </w:rPr>
              <w:t>Transboundary</w:t>
            </w:r>
            <w:proofErr w:type="spellEnd"/>
            <w:r w:rsidRPr="003F24CB">
              <w:rPr>
                <w:rFonts w:ascii="Arial" w:hAnsi="Arial" w:cs="Arial"/>
                <w:sz w:val="20"/>
                <w:szCs w:val="20"/>
              </w:rPr>
              <w:t xml:space="preserve"> Resources Assessment Committee (TRAC) met during 9 – 11 April 2013 in St. Andrews, New Brunswick, Canada, to review possible assessment models for the Eastern Georges Bank cod management unit.  The results of this meeting will be used to establish a new benchmark for Eastern Georges Bank cod for use in subsequent TRAC assessments.</w:t>
            </w:r>
          </w:p>
        </w:tc>
        <w:tc>
          <w:tcPr>
            <w:tcW w:w="236" w:type="dxa"/>
          </w:tcPr>
          <w:p w:rsidR="00923EFF" w:rsidRPr="003F24CB" w:rsidRDefault="00923EFF">
            <w:pPr>
              <w:rPr>
                <w:rFonts w:ascii="Arial" w:hAnsi="Arial" w:cs="Arial"/>
                <w:sz w:val="20"/>
                <w:szCs w:val="20"/>
                <w:lang w:val="fr-CA"/>
              </w:rPr>
            </w:pPr>
          </w:p>
        </w:tc>
        <w:tc>
          <w:tcPr>
            <w:tcW w:w="4732" w:type="dxa"/>
          </w:tcPr>
          <w:p w:rsidR="00923EFF" w:rsidRPr="007A6186" w:rsidRDefault="003F24CB" w:rsidP="003F24CB">
            <w:pPr>
              <w:jc w:val="both"/>
              <w:rPr>
                <w:rFonts w:ascii="Arial" w:hAnsi="Arial" w:cs="Arial"/>
                <w:sz w:val="20"/>
                <w:szCs w:val="20"/>
                <w:lang w:val="fr-FR"/>
              </w:rPr>
            </w:pPr>
            <w:r w:rsidRPr="003F24CB">
              <w:rPr>
                <w:rFonts w:ascii="Arial" w:hAnsi="Arial" w:cs="Arial"/>
                <w:sz w:val="20"/>
                <w:szCs w:val="20"/>
                <w:lang w:val="fr-FR"/>
              </w:rPr>
              <w:t>Le Comité d'évaluation des ressources transfrontalières (CERT) s'est réuni du 9 au 11 avril 2013 à St. Andrews, au Nouveau-Brunswick (Canada), dans le but d'examiner les modèles d'évaluation possibles pour la zone de gestion de la morue de l'est du banc de Georges. Les résultats découlant de cette réunion serviront à établir un nouveau point de référence pour la morue de l'est du banc de Georges aux fins d'utilisation dans les évaluations ultérieures du CERT.</w:t>
            </w:r>
          </w:p>
        </w:tc>
      </w:tr>
    </w:tbl>
    <w:p w:rsidR="009178D5" w:rsidRPr="007A6186" w:rsidRDefault="009178D5">
      <w:pPr>
        <w:rPr>
          <w:lang w:val="fr-CA"/>
        </w:rPr>
      </w:pPr>
    </w:p>
    <w:sectPr w:rsidR="009178D5" w:rsidRPr="007A6186">
      <w:headerReference w:type="default" r:id="rId8"/>
      <w:footerReference w:type="default" r:id="rId9"/>
      <w:headerReference w:type="first" r:id="rId10"/>
      <w:footerReference w:type="first" r:id="rId11"/>
      <w:pgSz w:w="12240" w:h="15840" w:code="1"/>
      <w:pgMar w:top="1440" w:right="1440" w:bottom="1080" w:left="1440" w:header="576"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BF" w:rsidRDefault="007A6186">
      <w:r>
        <w:separator/>
      </w:r>
    </w:p>
  </w:endnote>
  <w:endnote w:type="continuationSeparator" w:id="0">
    <w:p w:rsidR="00C75EBF" w:rsidRDefault="007A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0D" w:rsidRDefault="00022A0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2" w:type="dxa"/>
      <w:tblInd w:w="81" w:type="dxa"/>
      <w:tblBorders>
        <w:top w:val="single" w:sz="4" w:space="0" w:color="auto"/>
      </w:tblBorders>
      <w:tblLayout w:type="fixed"/>
      <w:tblLook w:val="01E0" w:firstRow="1" w:lastRow="1" w:firstColumn="1" w:lastColumn="1" w:noHBand="0" w:noVBand="0"/>
    </w:tblPr>
    <w:tblGrid>
      <w:gridCol w:w="4536"/>
      <w:gridCol w:w="243"/>
      <w:gridCol w:w="4743"/>
    </w:tblGrid>
    <w:tr w:rsidR="00022A0D" w:rsidRPr="000004FB">
      <w:tc>
        <w:tcPr>
          <w:tcW w:w="4536" w:type="dxa"/>
          <w:tcBorders>
            <w:top w:val="single" w:sz="4" w:space="0" w:color="auto"/>
          </w:tcBorders>
        </w:tcPr>
        <w:p w:rsidR="00022A0D" w:rsidRPr="000004FB" w:rsidRDefault="00022A0D">
          <w:pPr>
            <w:pStyle w:val="Footer"/>
            <w:rPr>
              <w:spacing w:val="-3"/>
            </w:rPr>
          </w:pPr>
        </w:p>
        <w:p w:rsidR="00022A0D" w:rsidRPr="000004FB" w:rsidRDefault="00793FF2">
          <w:pPr>
            <w:pStyle w:val="Footer"/>
            <w:rPr>
              <w:spacing w:val="-3"/>
            </w:rPr>
          </w:pPr>
          <w:r>
            <w:rPr>
              <w:noProof/>
            </w:rPr>
            <w:drawing>
              <wp:inline distT="0" distB="0" distL="0" distR="0">
                <wp:extent cx="796925" cy="184785"/>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184785"/>
                        </a:xfrm>
                        <a:prstGeom prst="rect">
                          <a:avLst/>
                        </a:prstGeom>
                        <a:noFill/>
                        <a:ln>
                          <a:noFill/>
                        </a:ln>
                      </pic:spPr>
                    </pic:pic>
                  </a:graphicData>
                </a:graphic>
              </wp:inline>
            </w:drawing>
          </w:r>
        </w:p>
      </w:tc>
      <w:tc>
        <w:tcPr>
          <w:tcW w:w="243" w:type="dxa"/>
          <w:tcBorders>
            <w:top w:val="single" w:sz="4" w:space="0" w:color="auto"/>
          </w:tcBorders>
        </w:tcPr>
        <w:p w:rsidR="00022A0D" w:rsidRPr="000004FB" w:rsidRDefault="00022A0D">
          <w:pPr>
            <w:pStyle w:val="Footer"/>
            <w:jc w:val="center"/>
            <w:rPr>
              <w:spacing w:val="-3"/>
            </w:rPr>
          </w:pPr>
        </w:p>
        <w:p w:rsidR="00022A0D" w:rsidRPr="000004FB" w:rsidRDefault="00022A0D">
          <w:pPr>
            <w:pStyle w:val="Footer"/>
            <w:jc w:val="center"/>
            <w:rPr>
              <w:spacing w:val="-3"/>
            </w:rPr>
          </w:pPr>
        </w:p>
      </w:tc>
      <w:tc>
        <w:tcPr>
          <w:tcW w:w="4743" w:type="dxa"/>
          <w:tcBorders>
            <w:top w:val="single" w:sz="4" w:space="0" w:color="auto"/>
          </w:tcBorders>
        </w:tcPr>
        <w:p w:rsidR="00022A0D" w:rsidRPr="000004FB" w:rsidRDefault="00793FF2">
          <w:pPr>
            <w:pStyle w:val="Footer"/>
            <w:jc w:val="right"/>
            <w:rPr>
              <w:spacing w:val="-3"/>
            </w:rPr>
          </w:pPr>
          <w:r>
            <w:rPr>
              <w:noProof/>
              <w:spacing w:val="-3"/>
            </w:rPr>
            <w:drawing>
              <wp:inline distT="0" distB="0" distL="0" distR="0">
                <wp:extent cx="386080" cy="3771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6080" cy="377190"/>
                        </a:xfrm>
                        <a:prstGeom prst="rect">
                          <a:avLst/>
                        </a:prstGeom>
                        <a:noFill/>
                        <a:ln>
                          <a:noFill/>
                        </a:ln>
                      </pic:spPr>
                    </pic:pic>
                  </a:graphicData>
                </a:graphic>
              </wp:inline>
            </w:drawing>
          </w:r>
        </w:p>
      </w:tc>
    </w:tr>
  </w:tbl>
  <w:p w:rsidR="00022A0D" w:rsidRDefault="00022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BF" w:rsidRDefault="007A6186">
      <w:r>
        <w:separator/>
      </w:r>
    </w:p>
  </w:footnote>
  <w:footnote w:type="continuationSeparator" w:id="0">
    <w:p w:rsidR="00C75EBF" w:rsidRDefault="007A6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0D" w:rsidRDefault="00022A0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3" w:type="dxa"/>
      <w:tblLayout w:type="fixed"/>
      <w:tblCellMar>
        <w:left w:w="0" w:type="dxa"/>
        <w:right w:w="0" w:type="dxa"/>
      </w:tblCellMar>
      <w:tblLook w:val="01E0" w:firstRow="1" w:lastRow="1" w:firstColumn="1" w:lastColumn="1" w:noHBand="0" w:noVBand="0"/>
    </w:tblPr>
    <w:tblGrid>
      <w:gridCol w:w="4752"/>
      <w:gridCol w:w="18"/>
      <w:gridCol w:w="4293"/>
    </w:tblGrid>
    <w:tr w:rsidR="00022A0D">
      <w:tc>
        <w:tcPr>
          <w:tcW w:w="4752" w:type="dxa"/>
        </w:tcPr>
        <w:p w:rsidR="00022A0D" w:rsidRDefault="00022A0D">
          <w:pPr>
            <w:pStyle w:val="Header"/>
            <w:rPr>
              <w:b/>
              <w:bCs/>
            </w:rPr>
          </w:pPr>
          <w:r>
            <w:object w:dxaOrig="4769" w:dyaOrig="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pt;height:21.15pt" o:ole="" fillcolor="window">
                <v:imagedata r:id="rId1" o:title=""/>
              </v:shape>
              <o:OLEObject Type="Embed" ProgID="Word.Picture.8" ShapeID="_x0000_i1025" DrawAspect="Content" ObjectID="_1474097063" r:id="rId2"/>
            </w:object>
          </w:r>
        </w:p>
      </w:tc>
      <w:tc>
        <w:tcPr>
          <w:tcW w:w="4311" w:type="dxa"/>
          <w:gridSpan w:val="2"/>
        </w:tcPr>
        <w:p w:rsidR="00022A0D" w:rsidRDefault="00793FF2">
          <w:pPr>
            <w:pStyle w:val="Header"/>
            <w:jc w:val="right"/>
            <w:rPr>
              <w:b/>
              <w:bCs/>
            </w:rPr>
          </w:pPr>
          <w:r>
            <w:rPr>
              <w:noProof/>
            </w:rPr>
            <w:drawing>
              <wp:inline distT="0" distB="0" distL="0" distR="0">
                <wp:extent cx="2726690" cy="268605"/>
                <wp:effectExtent l="0" t="0" r="0" b="0"/>
                <wp:docPr id="2" name="Picture 2" descr="fix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xed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6690" cy="268605"/>
                        </a:xfrm>
                        <a:prstGeom prst="rect">
                          <a:avLst/>
                        </a:prstGeom>
                        <a:noFill/>
                        <a:ln>
                          <a:noFill/>
                        </a:ln>
                      </pic:spPr>
                    </pic:pic>
                  </a:graphicData>
                </a:graphic>
              </wp:inline>
            </w:drawing>
          </w:r>
        </w:p>
      </w:tc>
    </w:tr>
    <w:tr w:rsidR="00022A0D">
      <w:trPr>
        <w:cantSplit/>
      </w:trPr>
      <w:tc>
        <w:tcPr>
          <w:tcW w:w="4770" w:type="dxa"/>
          <w:gridSpan w:val="2"/>
        </w:tcPr>
        <w:p w:rsidR="00022A0D" w:rsidRDefault="00022A0D">
          <w:pPr>
            <w:pStyle w:val="Header"/>
            <w:rPr>
              <w:rFonts w:ascii="Arial" w:hAnsi="Arial" w:cs="Arial"/>
              <w:b/>
              <w:bCs/>
              <w:sz w:val="22"/>
              <w:szCs w:val="22"/>
            </w:rPr>
          </w:pPr>
        </w:p>
        <w:p w:rsidR="00022A0D" w:rsidRDefault="00022A0D">
          <w:pPr>
            <w:pStyle w:val="Header"/>
            <w:rPr>
              <w:rFonts w:ascii="Arial" w:hAnsi="Arial" w:cs="Arial"/>
              <w:b/>
              <w:bCs/>
              <w:i/>
              <w:iCs/>
              <w:sz w:val="30"/>
              <w:szCs w:val="30"/>
              <w:lang w:val="fr-CA"/>
            </w:rPr>
          </w:pPr>
          <w:smartTag w:uri="urn:schemas-microsoft-com:office:smarttags" w:element="stockticker">
            <w:r>
              <w:rPr>
                <w:rFonts w:ascii="Arial" w:hAnsi="Arial" w:cs="Arial"/>
                <w:b/>
                <w:bCs/>
                <w:i/>
                <w:iCs/>
                <w:sz w:val="30"/>
                <w:szCs w:val="30"/>
                <w:lang w:val="fr-CA"/>
              </w:rPr>
              <w:t>CERT</w:t>
            </w:r>
          </w:smartTag>
        </w:p>
        <w:p w:rsidR="00022A0D" w:rsidRDefault="00022A0D">
          <w:pPr>
            <w:pStyle w:val="Header"/>
            <w:rPr>
              <w:rFonts w:ascii="Arial" w:hAnsi="Arial" w:cs="Arial"/>
              <w:b/>
              <w:bCs/>
              <w:sz w:val="22"/>
              <w:szCs w:val="22"/>
              <w:lang w:val="fr-CA"/>
            </w:rPr>
          </w:pPr>
        </w:p>
        <w:p w:rsidR="00022A0D" w:rsidRDefault="00022A0D">
          <w:pPr>
            <w:pStyle w:val="Header"/>
            <w:tabs>
              <w:tab w:val="clear" w:pos="4320"/>
              <w:tab w:val="center" w:pos="4428"/>
            </w:tabs>
            <w:rPr>
              <w:rFonts w:ascii="Arial" w:hAnsi="Arial" w:cs="Arial"/>
              <w:b/>
              <w:bCs/>
              <w:sz w:val="22"/>
              <w:szCs w:val="22"/>
              <w:lang w:val="fr-CA"/>
            </w:rPr>
          </w:pPr>
          <w:r>
            <w:rPr>
              <w:rFonts w:ascii="Arial" w:hAnsi="Arial" w:cs="Arial"/>
              <w:b/>
              <w:bCs/>
              <w:sz w:val="22"/>
              <w:szCs w:val="22"/>
              <w:lang w:val="fr-CA"/>
            </w:rPr>
            <w:t>Comité d'évaluation des</w:t>
          </w:r>
        </w:p>
        <w:p w:rsidR="00022A0D" w:rsidRDefault="00022A0D">
          <w:pPr>
            <w:pStyle w:val="Header"/>
            <w:rPr>
              <w:rFonts w:ascii="Arial" w:hAnsi="Arial" w:cs="Arial"/>
              <w:b/>
              <w:bCs/>
              <w:sz w:val="22"/>
              <w:szCs w:val="22"/>
              <w:lang w:val="fr-CA"/>
            </w:rPr>
          </w:pPr>
          <w:r>
            <w:rPr>
              <w:rFonts w:ascii="Arial" w:hAnsi="Arial" w:cs="Arial"/>
              <w:b/>
              <w:bCs/>
              <w:sz w:val="22"/>
              <w:szCs w:val="22"/>
              <w:lang w:val="fr-CA"/>
            </w:rPr>
            <w:t xml:space="preserve">ressources transfrontalières </w:t>
          </w:r>
        </w:p>
      </w:tc>
      <w:tc>
        <w:tcPr>
          <w:tcW w:w="4293" w:type="dxa"/>
        </w:tcPr>
        <w:p w:rsidR="00022A0D" w:rsidRDefault="00022A0D">
          <w:pPr>
            <w:pStyle w:val="Header"/>
            <w:rPr>
              <w:rFonts w:ascii="Arial" w:hAnsi="Arial" w:cs="Arial"/>
              <w:b/>
              <w:bCs/>
              <w:sz w:val="22"/>
              <w:szCs w:val="22"/>
              <w:lang w:val="fr-CA"/>
            </w:rPr>
          </w:pPr>
        </w:p>
        <w:p w:rsidR="00022A0D" w:rsidRDefault="00022A0D">
          <w:pPr>
            <w:pStyle w:val="Header"/>
            <w:rPr>
              <w:rFonts w:ascii="Arial" w:hAnsi="Arial" w:cs="Arial"/>
              <w:b/>
              <w:bCs/>
              <w:i/>
              <w:iCs/>
              <w:sz w:val="30"/>
              <w:szCs w:val="30"/>
            </w:rPr>
          </w:pPr>
          <w:smartTag w:uri="urn:schemas-microsoft-com:office:smarttags" w:element="stockticker">
            <w:r>
              <w:rPr>
                <w:rFonts w:ascii="Arial" w:hAnsi="Arial" w:cs="Arial"/>
                <w:b/>
                <w:bCs/>
                <w:i/>
                <w:iCs/>
                <w:sz w:val="30"/>
                <w:szCs w:val="30"/>
              </w:rPr>
              <w:t>TRAC</w:t>
            </w:r>
          </w:smartTag>
        </w:p>
        <w:p w:rsidR="00022A0D" w:rsidRDefault="00022A0D">
          <w:pPr>
            <w:pStyle w:val="Header"/>
            <w:rPr>
              <w:rFonts w:ascii="Arial" w:hAnsi="Arial" w:cs="Arial"/>
              <w:b/>
              <w:bCs/>
              <w:sz w:val="22"/>
              <w:szCs w:val="22"/>
            </w:rPr>
          </w:pPr>
        </w:p>
        <w:p w:rsidR="00022A0D" w:rsidRDefault="00022A0D">
          <w:pPr>
            <w:pStyle w:val="Header"/>
            <w:rPr>
              <w:rFonts w:ascii="Arial" w:hAnsi="Arial" w:cs="Arial"/>
              <w:b/>
              <w:bCs/>
              <w:sz w:val="22"/>
              <w:szCs w:val="22"/>
            </w:rPr>
          </w:pPr>
          <w:proofErr w:type="spellStart"/>
          <w:r>
            <w:rPr>
              <w:rFonts w:ascii="Arial" w:hAnsi="Arial" w:cs="Arial"/>
              <w:b/>
              <w:bCs/>
              <w:sz w:val="22"/>
              <w:szCs w:val="22"/>
            </w:rPr>
            <w:t>Transboundary</w:t>
          </w:r>
          <w:proofErr w:type="spellEnd"/>
          <w:r>
            <w:rPr>
              <w:rFonts w:ascii="Arial" w:hAnsi="Arial" w:cs="Arial"/>
              <w:b/>
              <w:bCs/>
              <w:sz w:val="22"/>
              <w:szCs w:val="22"/>
            </w:rPr>
            <w:t xml:space="preserve"> Resources</w:t>
          </w:r>
        </w:p>
        <w:p w:rsidR="00022A0D" w:rsidRDefault="00022A0D">
          <w:pPr>
            <w:pStyle w:val="Header"/>
            <w:rPr>
              <w:rFonts w:ascii="Arial" w:hAnsi="Arial" w:cs="Arial"/>
              <w:b/>
              <w:bCs/>
              <w:sz w:val="12"/>
              <w:szCs w:val="12"/>
            </w:rPr>
          </w:pPr>
          <w:r>
            <w:rPr>
              <w:rFonts w:ascii="Arial" w:hAnsi="Arial" w:cs="Arial"/>
              <w:b/>
              <w:bCs/>
              <w:sz w:val="22"/>
              <w:szCs w:val="22"/>
            </w:rPr>
            <w:t>Assessment Committee</w:t>
          </w:r>
        </w:p>
      </w:tc>
    </w:tr>
  </w:tbl>
  <w:p w:rsidR="00022A0D" w:rsidRDefault="00022A0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0468"/>
    <w:multiLevelType w:val="hybridMultilevel"/>
    <w:tmpl w:val="0F3CE0D8"/>
    <w:lvl w:ilvl="0" w:tplc="34A051D6">
      <w:start w:val="2543"/>
      <w:numFmt w:val="decimalZero"/>
      <w:lvlText w:val="%1"/>
      <w:lvlJc w:val="left"/>
      <w:pPr>
        <w:tabs>
          <w:tab w:val="num" w:pos="1215"/>
        </w:tabs>
        <w:ind w:left="1215" w:hanging="855"/>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2C"/>
    <w:rsid w:val="00022A0D"/>
    <w:rsid w:val="003F24CB"/>
    <w:rsid w:val="004F1DC9"/>
    <w:rsid w:val="005C5F8F"/>
    <w:rsid w:val="00793FF2"/>
    <w:rsid w:val="007A6186"/>
    <w:rsid w:val="008C1E73"/>
    <w:rsid w:val="009178D5"/>
    <w:rsid w:val="00923EFF"/>
    <w:rsid w:val="009F4B84"/>
    <w:rsid w:val="00A6132C"/>
    <w:rsid w:val="00AE2C82"/>
    <w:rsid w:val="00AF68E6"/>
    <w:rsid w:val="00B102EB"/>
    <w:rsid w:val="00C64344"/>
    <w:rsid w:val="00C75EBF"/>
    <w:rsid w:val="00CE2FCB"/>
    <w:rsid w:val="00DD2920"/>
    <w:rsid w:val="00E169B8"/>
    <w:rsid w:val="00FA4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Heading1TimesNewRoman">
    <w:name w:val="Style Heading 1 + Times New Roman"/>
    <w:basedOn w:val="Heading1"/>
    <w:pPr>
      <w:spacing w:before="280" w:after="240"/>
      <w:jc w:val="center"/>
    </w:pPr>
    <w:rPr>
      <w:rFonts w:ascii="Times New Roman" w:hAnsi="Times New Roman" w:cs="Times New Roman"/>
      <w:kern w:val="0"/>
      <w:sz w:val="28"/>
      <w:szCs w:val="20"/>
      <w:lang w:val="en-US" w:eastAsia="en-US"/>
    </w:rPr>
  </w:style>
  <w:style w:type="paragraph" w:customStyle="1" w:styleId="StyleBodyTextTimesNewRoman">
    <w:name w:val="Style Body Text + Times New Roman"/>
    <w:basedOn w:val="BodyText"/>
    <w:rPr>
      <w:szCs w:val="20"/>
      <w:lang w:val="en-US"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4">
    <w:name w:val="CM54"/>
    <w:basedOn w:val="Default"/>
    <w:next w:val="Default"/>
    <w:pPr>
      <w:spacing w:after="255"/>
    </w:pPr>
    <w:rPr>
      <w:color w:val="auto"/>
    </w:rPr>
  </w:style>
  <w:style w:type="paragraph" w:styleId="BodyText">
    <w:name w:val="Body Text"/>
    <w:basedOn w:val="Normal"/>
    <w:pPr>
      <w:spacing w:after="120"/>
    </w:pPr>
  </w:style>
  <w:style w:type="paragraph" w:customStyle="1" w:styleId="Cover">
    <w:name w:val="Cover"/>
    <w:basedOn w:val="Normal"/>
    <w:rPr>
      <w:rFonts w:ascii="Arial" w:hAnsi="Arial" w:cs="Arial"/>
      <w:lang w:val="en-US" w:eastAsia="en-US"/>
    </w:r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sid w:val="00AE2C82"/>
    <w:rPr>
      <w:rFonts w:ascii="Arial" w:hAnsi="Arial" w:cs="Arial"/>
      <w:b/>
      <w:bCs/>
      <w:kern w:val="32"/>
      <w:sz w:val="32"/>
      <w:szCs w:val="32"/>
      <w:lang w:val="en-CA" w:eastAsia="en-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Heading1TimesNewRoman">
    <w:name w:val="Style Heading 1 + Times New Roman"/>
    <w:basedOn w:val="Heading1"/>
    <w:pPr>
      <w:spacing w:before="280" w:after="240"/>
      <w:jc w:val="center"/>
    </w:pPr>
    <w:rPr>
      <w:rFonts w:ascii="Times New Roman" w:hAnsi="Times New Roman" w:cs="Times New Roman"/>
      <w:kern w:val="0"/>
      <w:sz w:val="28"/>
      <w:szCs w:val="20"/>
      <w:lang w:val="en-US" w:eastAsia="en-US"/>
    </w:rPr>
  </w:style>
  <w:style w:type="paragraph" w:customStyle="1" w:styleId="StyleBodyTextTimesNewRoman">
    <w:name w:val="Style Body Text + Times New Roman"/>
    <w:basedOn w:val="BodyText"/>
    <w:rPr>
      <w:szCs w:val="20"/>
      <w:lang w:val="en-US"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4">
    <w:name w:val="CM54"/>
    <w:basedOn w:val="Default"/>
    <w:next w:val="Default"/>
    <w:pPr>
      <w:spacing w:after="255"/>
    </w:pPr>
    <w:rPr>
      <w:color w:val="auto"/>
    </w:rPr>
  </w:style>
  <w:style w:type="paragraph" w:styleId="BodyText">
    <w:name w:val="Body Text"/>
    <w:basedOn w:val="Normal"/>
    <w:pPr>
      <w:spacing w:after="120"/>
    </w:pPr>
  </w:style>
  <w:style w:type="paragraph" w:customStyle="1" w:styleId="Cover">
    <w:name w:val="Cover"/>
    <w:basedOn w:val="Normal"/>
    <w:rPr>
      <w:rFonts w:ascii="Arial" w:hAnsi="Arial" w:cs="Arial"/>
      <w:lang w:val="en-US" w:eastAsia="en-US"/>
    </w:r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sid w:val="00AE2C82"/>
    <w:rPr>
      <w:rFonts w:ascii="Arial" w:hAnsi="Arial" w:cs="Arial"/>
      <w:b/>
      <w:bCs/>
      <w:kern w:val="32"/>
      <w:sz w:val="32"/>
      <w:szCs w:val="32"/>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Canadian Stock Assessment Secretariat</vt:lpstr>
    </vt:vector>
  </TitlesOfParts>
  <Company>DFO</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Stock Assessment Secretariat</dc:title>
  <dc:creator>MyraV</dc:creator>
  <cp:lastModifiedBy>Valerie M. Myra</cp:lastModifiedBy>
  <cp:revision>2</cp:revision>
  <cp:lastPrinted>2006-07-13T15:08:00Z</cp:lastPrinted>
  <dcterms:created xsi:type="dcterms:W3CDTF">2014-10-06T13:38:00Z</dcterms:created>
  <dcterms:modified xsi:type="dcterms:W3CDTF">2014-10-06T13:38:00Z</dcterms:modified>
</cp:coreProperties>
</file>